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53748" w:rsidRDefault="00B73FD4">
      <w:pPr>
        <w:jc w:val="center"/>
        <w:rPr>
          <w:rFonts w:ascii="Raleway" w:hAnsi="Raleway"/>
        </w:rPr>
      </w:pPr>
      <w:r>
        <w:rPr>
          <w:rFonts w:ascii="Times New Roman" w:eastAsia="Calibri" w:hAnsi="Times New Roman" w:cs="Times New Roman"/>
          <w:b/>
          <w:color w:val="2F5496" w:themeColor="accent5" w:themeShade="BF"/>
          <w:spacing w:val="20"/>
          <w:sz w:val="58"/>
          <w:szCs w:val="58"/>
        </w:rPr>
        <w:t>PATAMU.COM - PRESSBOOK</w:t>
      </w:r>
      <w:r>
        <w:rPr>
          <w:rFonts w:ascii="Raleway" w:eastAsia="Calibri" w:hAnsi="Raleway" w:cs="Calibri"/>
          <w:b/>
          <w:color w:val="2F5496" w:themeColor="accent5" w:themeShade="BF"/>
          <w:spacing w:val="20"/>
          <w:sz w:val="56"/>
          <w:szCs w:val="56"/>
        </w:rPr>
        <w:br/>
      </w:r>
      <w:r>
        <w:rPr>
          <w:rFonts w:ascii="Raleway" w:eastAsia="Calibri" w:hAnsi="Raleway" w:cs="Calibri"/>
          <w:b/>
          <w:color w:val="2F5496" w:themeColor="accent5" w:themeShade="BF"/>
          <w:spacing w:val="20"/>
          <w:sz w:val="36"/>
          <w:szCs w:val="36"/>
        </w:rPr>
        <w:br/>
      </w:r>
      <w:r>
        <w:rPr>
          <w:rFonts w:ascii="Raleway" w:eastAsia="Calibri" w:hAnsi="Raleway" w:cs="Calibri"/>
          <w:b/>
          <w:color w:val="2F5496" w:themeColor="accent5" w:themeShade="BF"/>
          <w:spacing w:val="20"/>
          <w:sz w:val="56"/>
          <w:szCs w:val="56"/>
        </w:rPr>
        <w:br/>
      </w:r>
      <w:r>
        <w:rPr>
          <w:rFonts w:ascii="Raleway" w:eastAsia="Calibri" w:hAnsi="Raleway" w:cs="Calibri"/>
          <w:b/>
          <w:color w:val="2F5496" w:themeColor="accent5" w:themeShade="BF"/>
          <w:spacing w:val="20"/>
        </w:rPr>
        <w:br/>
        <w:t xml:space="preserve">               </w:t>
      </w:r>
      <w:r>
        <w:rPr>
          <w:rFonts w:ascii="Raleway" w:eastAsia="Calibri" w:hAnsi="Raleway" w:cs="Calibri"/>
          <w:b/>
          <w:noProof/>
          <w:color w:val="2F5496" w:themeColor="accent5" w:themeShade="BF"/>
          <w:spacing w:val="20"/>
          <w:lang w:val="en-US"/>
        </w:rPr>
        <w:drawing>
          <wp:inline distT="0" distB="0" distL="0" distR="6985">
            <wp:extent cx="4692015" cy="470408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47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748" w:rsidRDefault="00353748">
      <w:pPr>
        <w:rPr>
          <w:rFonts w:ascii="Raleway" w:hAnsi="Raleway"/>
          <w:sz w:val="28"/>
          <w:szCs w:val="28"/>
        </w:rPr>
      </w:pPr>
    </w:p>
    <w:tbl>
      <w:tblPr>
        <w:tblW w:w="9848" w:type="dxa"/>
        <w:jc w:val="center"/>
        <w:tblLook w:val="0000"/>
      </w:tblPr>
      <w:tblGrid>
        <w:gridCol w:w="9848"/>
      </w:tblGrid>
      <w:tr w:rsidR="00353748">
        <w:trPr>
          <w:trHeight w:val="697"/>
          <w:jc w:val="center"/>
        </w:trPr>
        <w:tc>
          <w:tcPr>
            <w:tcW w:w="9848" w:type="dxa"/>
            <w:shd w:val="clear" w:color="auto" w:fill="auto"/>
          </w:tcPr>
          <w:p w:rsidR="00353748" w:rsidRDefault="00B73FD4">
            <w:pPr>
              <w:pStyle w:val="Titoloprincipale"/>
              <w:jc w:val="center"/>
              <w:rPr>
                <w:rFonts w:ascii="Raleway" w:hAnsi="Raleway" w:hint="eastAsia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Raleway" w:eastAsia="Calibri" w:hAnsi="Raleway" w:cs="Calibri"/>
                <w:b/>
                <w:color w:val="2F5496" w:themeColor="accent5" w:themeShade="BF"/>
                <w:sz w:val="28"/>
                <w:szCs w:val="28"/>
              </w:rPr>
              <w:br/>
            </w:r>
          </w:p>
        </w:tc>
      </w:tr>
    </w:tbl>
    <w:p w:rsidR="00353748" w:rsidRDefault="00353748">
      <w:pPr>
        <w:rPr>
          <w:rFonts w:ascii="Raleway" w:hAnsi="Raleway"/>
        </w:rPr>
      </w:pPr>
    </w:p>
    <w:p w:rsidR="00353748" w:rsidRDefault="00353748">
      <w:pPr>
        <w:rPr>
          <w:rFonts w:ascii="Raleway" w:hAnsi="Raleway"/>
        </w:rPr>
      </w:pPr>
    </w:p>
    <w:p w:rsidR="00353748" w:rsidRDefault="00B73FD4">
      <w:pPr>
        <w:rPr>
          <w:rFonts w:ascii="Raleway" w:hAnsi="Raleway"/>
          <w:b/>
          <w:color w:val="2F5496" w:themeColor="accent5" w:themeShade="BF"/>
          <w:sz w:val="24"/>
          <w:szCs w:val="24"/>
        </w:rPr>
      </w:pPr>
      <w:r>
        <w:rPr>
          <w:rFonts w:ascii="Raleway" w:hAnsi="Raleway"/>
          <w:b/>
          <w:color w:val="2F5496" w:themeColor="accent5" w:themeShade="BF"/>
          <w:sz w:val="24"/>
          <w:szCs w:val="24"/>
        </w:rPr>
        <w:br/>
      </w:r>
      <w:r>
        <w:rPr>
          <w:rFonts w:ascii="Raleway" w:hAnsi="Raleway"/>
          <w:b/>
          <w:color w:val="2F5496" w:themeColor="accent5" w:themeShade="BF"/>
          <w:sz w:val="24"/>
          <w:szCs w:val="24"/>
        </w:rPr>
        <w:br/>
      </w:r>
    </w:p>
    <w:p w:rsidR="00353748" w:rsidRDefault="00B73FD4">
      <w:pPr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Patamu.com è creata e gestita da Innovaetica SRL Società Innovativa</w:t>
      </w:r>
    </w:p>
    <w:p w:rsidR="00353748" w:rsidRDefault="00353748"/>
    <w:p w:rsidR="00353748" w:rsidRDefault="00B73FD4">
      <w:pPr>
        <w:spacing w:line="27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48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F4E79" w:themeColor="accent1" w:themeShade="80"/>
          <w:sz w:val="48"/>
          <w:szCs w:val="26"/>
        </w:rPr>
        <w:t>PATAMU, LA STARTUP ITALIANA PER</w:t>
      </w:r>
      <w:r>
        <w:rPr>
          <w:rFonts w:ascii="Times New Roman" w:hAnsi="Times New Roman" w:cs="Times New Roman"/>
          <w:b/>
          <w:color w:val="1F4E79" w:themeColor="accent1" w:themeShade="80"/>
          <w:sz w:val="48"/>
          <w:szCs w:val="26"/>
        </w:rPr>
        <w:t xml:space="preserve"> LA TUTELA DEGLI ARTISTI</w:t>
      </w:r>
      <w:r>
        <w:rPr>
          <w:rFonts w:ascii="Times New Roman" w:hAnsi="Times New Roman" w:cs="Times New Roman"/>
          <w:b/>
          <w:color w:val="1F4E79" w:themeColor="accent1" w:themeShade="80"/>
          <w:sz w:val="48"/>
          <w:szCs w:val="26"/>
        </w:rPr>
        <w:br/>
      </w:r>
    </w:p>
    <w:p w:rsidR="00353748" w:rsidRDefault="00B73F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 all’attivo già </w:t>
      </w:r>
      <w:r>
        <w:rPr>
          <w:rFonts w:ascii="Times New Roman" w:hAnsi="Times New Roman" w:cs="Times New Roman"/>
          <w:b/>
          <w:sz w:val="26"/>
          <w:szCs w:val="26"/>
        </w:rPr>
        <w:t>10000 artisti iscritti</w:t>
      </w:r>
      <w:r>
        <w:rPr>
          <w:rFonts w:ascii="Times New Roman" w:hAnsi="Times New Roman" w:cs="Times New Roman"/>
          <w:sz w:val="26"/>
          <w:szCs w:val="26"/>
        </w:rPr>
        <w:t xml:space="preserve"> che hanno depositato più di </w:t>
      </w:r>
      <w:r>
        <w:rPr>
          <w:rFonts w:ascii="Times New Roman" w:hAnsi="Times New Roman" w:cs="Times New Roman"/>
          <w:b/>
          <w:sz w:val="26"/>
          <w:szCs w:val="26"/>
        </w:rPr>
        <w:t>25000 opere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Patamu</w:t>
      </w:r>
      <w:r>
        <w:rPr>
          <w:rFonts w:ascii="Times New Roman" w:hAnsi="Times New Roman" w:cs="Times New Roman"/>
          <w:sz w:val="26"/>
          <w:szCs w:val="26"/>
        </w:rPr>
        <w:t xml:space="preserve"> è una </w:t>
      </w:r>
      <w:r>
        <w:rPr>
          <w:rFonts w:ascii="Times New Roman" w:hAnsi="Times New Roman" w:cs="Times New Roman"/>
          <w:b/>
          <w:sz w:val="26"/>
          <w:szCs w:val="26"/>
        </w:rPr>
        <w:t>startup interamente italiana</w:t>
      </w:r>
      <w:r>
        <w:rPr>
          <w:rFonts w:ascii="Times New Roman" w:hAnsi="Times New Roman" w:cs="Times New Roman"/>
          <w:sz w:val="26"/>
          <w:szCs w:val="26"/>
        </w:rPr>
        <w:t xml:space="preserve"> che si occupa di tutela dal plagio delle opere d’arte, offrendo assistenza legale sul complesso tema del </w:t>
      </w:r>
      <w:r>
        <w:rPr>
          <w:rFonts w:ascii="Times New Roman" w:hAnsi="Times New Roman" w:cs="Times New Roman"/>
          <w:sz w:val="26"/>
          <w:szCs w:val="26"/>
        </w:rPr>
        <w:t xml:space="preserve">diritto d’autore. </w:t>
      </w:r>
    </w:p>
    <w:p w:rsidR="00353748" w:rsidRDefault="00B73F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Attraverso una marcatura temporale, infatti, Patamu è in grado di offrire ai suoi artisti la stessa validità legale del deposito opere inedite della </w:t>
      </w:r>
      <w:r>
        <w:rPr>
          <w:rFonts w:ascii="Times New Roman" w:hAnsi="Times New Roman" w:cs="Times New Roman"/>
          <w:b/>
          <w:sz w:val="26"/>
          <w:szCs w:val="26"/>
        </w:rPr>
        <w:t>SIAE</w:t>
      </w:r>
      <w:r>
        <w:rPr>
          <w:rFonts w:ascii="Times New Roman" w:hAnsi="Times New Roman" w:cs="Times New Roman"/>
          <w:sz w:val="26"/>
          <w:szCs w:val="26"/>
        </w:rPr>
        <w:t xml:space="preserve">, a costi molto più accessibili. Non solo. Al contrario del colosso nazionale – che </w:t>
      </w:r>
      <w:r>
        <w:rPr>
          <w:rFonts w:ascii="Times New Roman" w:hAnsi="Times New Roman" w:cs="Times New Roman"/>
          <w:sz w:val="26"/>
          <w:szCs w:val="26"/>
        </w:rPr>
        <w:t xml:space="preserve">gode ancora dei privilegi sanciti dall’ormai datata </w:t>
      </w:r>
      <w:r>
        <w:rPr>
          <w:rFonts w:ascii="Times New Roman" w:hAnsi="Times New Roman" w:cs="Times New Roman"/>
          <w:b/>
          <w:sz w:val="26"/>
          <w:szCs w:val="26"/>
        </w:rPr>
        <w:t>legge sul monopolio del 1941</w:t>
      </w:r>
      <w:r>
        <w:rPr>
          <w:rFonts w:ascii="Times New Roman" w:hAnsi="Times New Roman" w:cs="Times New Roman"/>
          <w:sz w:val="26"/>
          <w:szCs w:val="26"/>
        </w:rPr>
        <w:t xml:space="preserve"> – Patamu non si appropria del repertorio dell’artista che, così, continuerà a disporre delle sue opere come meglio crede. </w:t>
      </w:r>
    </w:p>
    <w:p w:rsidR="00353748" w:rsidRDefault="00B73F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 rispondere in modo più definito alle esigenze de</w:t>
      </w:r>
      <w:r>
        <w:rPr>
          <w:rFonts w:ascii="Times New Roman" w:hAnsi="Times New Roman" w:cs="Times New Roman"/>
          <w:sz w:val="26"/>
          <w:szCs w:val="26"/>
        </w:rPr>
        <w:t>i propri artisti, la piattaforma si è organizzata per svolgere anche il servizio di intermediazione, guardando direttamente alle direttive europee ed organizzandosi come entità di gestione indipendente per la riscossione dei diritti d'autore dall’Italia, i</w:t>
      </w:r>
      <w:r>
        <w:rPr>
          <w:rFonts w:ascii="Times New Roman" w:hAnsi="Times New Roman" w:cs="Times New Roman"/>
          <w:sz w:val="26"/>
          <w:szCs w:val="26"/>
        </w:rPr>
        <w:t>n accordo con quanto previsto dalle nuove normative europee (</w:t>
      </w:r>
      <w:r>
        <w:rPr>
          <w:rFonts w:ascii="Times New Roman" w:hAnsi="Times New Roman" w:cs="Times New Roman"/>
          <w:b/>
          <w:sz w:val="26"/>
          <w:szCs w:val="26"/>
        </w:rPr>
        <w:t>direttiva 2014/26/UE</w:t>
      </w:r>
      <w:r>
        <w:rPr>
          <w:rFonts w:ascii="Times New Roman" w:hAnsi="Times New Roman" w:cs="Times New Roman"/>
          <w:sz w:val="26"/>
          <w:szCs w:val="26"/>
        </w:rPr>
        <w:t xml:space="preserve">, la cosiddetta </w:t>
      </w:r>
      <w:r>
        <w:rPr>
          <w:rFonts w:ascii="Times New Roman" w:hAnsi="Times New Roman" w:cs="Times New Roman"/>
          <w:b/>
          <w:sz w:val="26"/>
          <w:szCs w:val="26"/>
        </w:rPr>
        <w:t>Barnier</w:t>
      </w:r>
      <w:r>
        <w:rPr>
          <w:rFonts w:ascii="Times New Roman" w:hAnsi="Times New Roman" w:cs="Times New Roman"/>
          <w:sz w:val="26"/>
          <w:szCs w:val="26"/>
        </w:rPr>
        <w:t xml:space="preserve">). Un’operazione, questa, che consente alla piattaforma di presentarsi come un’alternativa alla SIAE a tutti gli effetti. </w:t>
      </w:r>
    </w:p>
    <w:p w:rsidR="00353748" w:rsidRDefault="00B73F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Patamu, inoltre, è in grado d</w:t>
      </w:r>
      <w:r>
        <w:rPr>
          <w:rFonts w:ascii="Times New Roman" w:hAnsi="Times New Roman" w:cs="Times New Roman"/>
          <w:sz w:val="26"/>
          <w:szCs w:val="26"/>
        </w:rPr>
        <w:t>i garantire una totale trasparenza sulle tariffe proposte ed una ripartizione analitica dei proventi a beneficio sia degli artisti che del gestore. Gli artisti, infatti, riceveranno il pagamento online appena concluso l’evento e, se lo riterranno opportuno</w:t>
      </w:r>
      <w:r>
        <w:rPr>
          <w:rFonts w:ascii="Times New Roman" w:hAnsi="Times New Roman" w:cs="Times New Roman"/>
          <w:sz w:val="26"/>
          <w:szCs w:val="26"/>
        </w:rPr>
        <w:t>, potranno decidere di disiscriversi dal servizio in qualsiasi momento con un preavviso di soli sessanta giorni.</w:t>
      </w:r>
    </w:p>
    <w:p w:rsidR="00353748" w:rsidRDefault="00B73F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Patamu, negli anni, si è già aggiudicata il primo premio </w:t>
      </w:r>
      <w:r>
        <w:rPr>
          <w:rFonts w:ascii="Times New Roman" w:hAnsi="Times New Roman" w:cs="Times New Roman"/>
          <w:b/>
          <w:sz w:val="26"/>
          <w:szCs w:val="26"/>
        </w:rPr>
        <w:t>Inventare il futuro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Università di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Bologna</w:t>
      </w:r>
      <w:r>
        <w:rPr>
          <w:rFonts w:ascii="Times New Roman" w:hAnsi="Times New Roman" w:cs="Times New Roman"/>
          <w:sz w:val="26"/>
          <w:szCs w:val="26"/>
        </w:rPr>
        <w:t xml:space="preserve">, sezione Arte, </w:t>
      </w:r>
      <w:r>
        <w:rPr>
          <w:rFonts w:ascii="Times New Roman" w:hAnsi="Times New Roman" w:cs="Times New Roman"/>
          <w:b/>
          <w:sz w:val="26"/>
          <w:szCs w:val="26"/>
        </w:rPr>
        <w:t>2011</w:t>
      </w:r>
      <w:r>
        <w:rPr>
          <w:rFonts w:ascii="Times New Roman" w:hAnsi="Times New Roman" w:cs="Times New Roman"/>
          <w:sz w:val="26"/>
          <w:szCs w:val="26"/>
        </w:rPr>
        <w:t>) ed il primo premio com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>
        <w:rPr>
          <w:rFonts w:ascii="Times New Roman" w:hAnsi="Times New Roman" w:cs="Times New Roman"/>
          <w:b/>
          <w:sz w:val="26"/>
          <w:szCs w:val="26"/>
        </w:rPr>
        <w:t>aspiranti imprenditori</w:t>
      </w:r>
      <w:r>
        <w:rPr>
          <w:rFonts w:ascii="Times New Roman" w:hAnsi="Times New Roman" w:cs="Times New Roman"/>
          <w:sz w:val="26"/>
          <w:szCs w:val="26"/>
        </w:rPr>
        <w:t xml:space="preserve"> per il </w:t>
      </w:r>
      <w:r>
        <w:rPr>
          <w:rFonts w:ascii="Times New Roman" w:hAnsi="Times New Roman" w:cs="Times New Roman"/>
          <w:b/>
          <w:sz w:val="26"/>
          <w:szCs w:val="26"/>
        </w:rPr>
        <w:t>concorso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Fondo per la creatività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Provincia di Roma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2012</w:t>
      </w:r>
      <w:r>
        <w:rPr>
          <w:rFonts w:ascii="Times New Roman" w:hAnsi="Times New Roman" w:cs="Times New Roman"/>
          <w:sz w:val="26"/>
          <w:szCs w:val="26"/>
        </w:rPr>
        <w:t xml:space="preserve">). Inoltre, </w:t>
      </w:r>
      <w:r>
        <w:rPr>
          <w:rFonts w:ascii="Times New Roman" w:hAnsi="Times New Roman" w:cs="Times New Roman"/>
          <w:b/>
          <w:sz w:val="26"/>
          <w:szCs w:val="26"/>
        </w:rPr>
        <w:t>Innovaetica Srl</w:t>
      </w:r>
      <w:r>
        <w:rPr>
          <w:rFonts w:ascii="Times New Roman" w:hAnsi="Times New Roman" w:cs="Times New Roman"/>
          <w:sz w:val="26"/>
          <w:szCs w:val="26"/>
        </w:rPr>
        <w:t xml:space="preserve">, la società che gestisce l’intero progetto, è stata riconosciuta come </w:t>
      </w:r>
      <w:r>
        <w:rPr>
          <w:rFonts w:ascii="Times New Roman" w:hAnsi="Times New Roman" w:cs="Times New Roman"/>
          <w:b/>
          <w:sz w:val="26"/>
          <w:szCs w:val="26"/>
        </w:rPr>
        <w:t>società innovativa a vocazione sociale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53748" w:rsidRDefault="00B73FD4">
      <w:pPr>
        <w:spacing w:line="36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26"/>
        </w:rPr>
      </w:pPr>
      <w:r>
        <w:rPr>
          <w:rFonts w:ascii="Times New Roman" w:hAnsi="Times New Roman" w:cs="Times New Roman"/>
          <w:b/>
          <w:color w:val="1F4E79" w:themeColor="accent1" w:themeShade="80"/>
          <w:sz w:val="36"/>
          <w:szCs w:val="26"/>
        </w:rPr>
        <w:t>I SERVIZI</w:t>
      </w: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6"/>
          <w:u w:val="single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6"/>
          <w:u w:val="single"/>
        </w:rPr>
        <w:t>REGISTRY</w:t>
      </w: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Registry</w:t>
      </w:r>
      <w:r>
        <w:rPr>
          <w:rFonts w:ascii="Times New Roman" w:hAnsi="Times New Roman" w:cs="Times New Roman"/>
          <w:sz w:val="26"/>
          <w:szCs w:val="26"/>
        </w:rPr>
        <w:t xml:space="preserve"> è il servizio con cui la piattaforma concede una prova d’autore dalla stessa valenza legale del deposito </w:t>
      </w:r>
      <w:r>
        <w:rPr>
          <w:rFonts w:ascii="Times New Roman" w:hAnsi="Times New Roman" w:cs="Times New Roman"/>
          <w:b/>
          <w:sz w:val="26"/>
          <w:szCs w:val="26"/>
        </w:rPr>
        <w:t>opere inedite</w:t>
      </w:r>
      <w:r>
        <w:rPr>
          <w:rFonts w:ascii="Times New Roman" w:hAnsi="Times New Roman" w:cs="Times New Roman"/>
          <w:sz w:val="26"/>
          <w:szCs w:val="26"/>
        </w:rPr>
        <w:t xml:space="preserve"> della </w:t>
      </w:r>
      <w:r>
        <w:rPr>
          <w:rFonts w:ascii="Times New Roman" w:hAnsi="Times New Roman" w:cs="Times New Roman"/>
          <w:b/>
          <w:sz w:val="26"/>
          <w:szCs w:val="26"/>
        </w:rPr>
        <w:t>SIAE</w:t>
      </w:r>
      <w:r>
        <w:rPr>
          <w:rFonts w:ascii="Times New Roman" w:hAnsi="Times New Roman" w:cs="Times New Roman"/>
          <w:sz w:val="26"/>
          <w:szCs w:val="26"/>
        </w:rPr>
        <w:t xml:space="preserve">. La tutela viene garantita attraverso una </w:t>
      </w:r>
      <w:r>
        <w:rPr>
          <w:rFonts w:ascii="Times New Roman" w:hAnsi="Times New Roman" w:cs="Times New Roman"/>
          <w:b/>
          <w:sz w:val="26"/>
          <w:szCs w:val="26"/>
        </w:rPr>
        <w:t>marcatura temporale</w:t>
      </w:r>
      <w:r>
        <w:rPr>
          <w:rFonts w:ascii="Times New Roman" w:hAnsi="Times New Roman" w:cs="Times New Roman"/>
          <w:sz w:val="26"/>
          <w:szCs w:val="26"/>
        </w:rPr>
        <w:t>, in modo facile e immediato, che consente di attribuire un orar</w:t>
      </w:r>
      <w:r>
        <w:rPr>
          <w:rFonts w:ascii="Times New Roman" w:hAnsi="Times New Roman" w:cs="Times New Roman"/>
          <w:sz w:val="26"/>
          <w:szCs w:val="26"/>
        </w:rPr>
        <w:t xml:space="preserve">io ed una data certa al documento informatico che al suo interno contiene l’opera di ingegno, stabilendo con certezza la paternità di quest’ultima. La marcatura ha una </w:t>
      </w:r>
      <w:r>
        <w:rPr>
          <w:rFonts w:ascii="Times New Roman" w:hAnsi="Times New Roman" w:cs="Times New Roman"/>
          <w:b/>
          <w:sz w:val="26"/>
          <w:szCs w:val="26"/>
        </w:rPr>
        <w:t>durata temporale di vent’anni</w:t>
      </w:r>
      <w:r>
        <w:rPr>
          <w:rFonts w:ascii="Times New Roman" w:hAnsi="Times New Roman" w:cs="Times New Roman"/>
          <w:sz w:val="26"/>
          <w:szCs w:val="26"/>
        </w:rPr>
        <w:t xml:space="preserve"> ed è valida in tutti i paesi che hanno firmato la </w:t>
      </w:r>
      <w:r>
        <w:rPr>
          <w:rFonts w:ascii="Times New Roman" w:hAnsi="Times New Roman" w:cs="Times New Roman"/>
          <w:b/>
          <w:sz w:val="26"/>
          <w:szCs w:val="26"/>
        </w:rPr>
        <w:t>Convenzi</w:t>
      </w:r>
      <w:r>
        <w:rPr>
          <w:rFonts w:ascii="Times New Roman" w:hAnsi="Times New Roman" w:cs="Times New Roman"/>
          <w:b/>
          <w:sz w:val="26"/>
          <w:szCs w:val="26"/>
        </w:rPr>
        <w:t>one di Berna per la protezione delle Opere Letterarie ed Artistiche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53748" w:rsidRDefault="0035374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6"/>
          <w:u w:val="single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6"/>
          <w:u w:val="single"/>
        </w:rPr>
        <w:t>REPOSITORY</w:t>
      </w: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 questo servizio, la piattaforma permette di </w:t>
      </w:r>
      <w:r>
        <w:rPr>
          <w:rFonts w:ascii="Times New Roman" w:hAnsi="Times New Roman" w:cs="Times New Roman"/>
          <w:b/>
          <w:sz w:val="26"/>
          <w:szCs w:val="26"/>
        </w:rPr>
        <w:t>conservare gratuitamente tutte le proprie opere</w:t>
      </w:r>
      <w:r>
        <w:rPr>
          <w:rFonts w:ascii="Times New Roman" w:hAnsi="Times New Roman" w:cs="Times New Roman"/>
          <w:sz w:val="26"/>
          <w:szCs w:val="26"/>
        </w:rPr>
        <w:t xml:space="preserve"> e organizzarle in raccolte. </w:t>
      </w:r>
    </w:p>
    <w:p w:rsidR="00353748" w:rsidRDefault="0035374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6"/>
          <w:u w:val="single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6"/>
          <w:u w:val="single"/>
        </w:rPr>
        <w:t>LEGAL</w:t>
      </w: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Patamu offre ai suoi iscritti </w:t>
      </w:r>
      <w:r>
        <w:rPr>
          <w:rFonts w:ascii="Times New Roman" w:hAnsi="Times New Roman" w:cs="Times New Roman"/>
          <w:b/>
          <w:sz w:val="26"/>
          <w:szCs w:val="26"/>
        </w:rPr>
        <w:t xml:space="preserve">assistenza </w:t>
      </w:r>
      <w:r>
        <w:rPr>
          <w:rFonts w:ascii="Times New Roman" w:hAnsi="Times New Roman" w:cs="Times New Roman"/>
          <w:b/>
          <w:sz w:val="26"/>
          <w:szCs w:val="26"/>
        </w:rPr>
        <w:t>legale gratuita</w:t>
      </w:r>
      <w:r>
        <w:rPr>
          <w:rFonts w:ascii="Times New Roman" w:hAnsi="Times New Roman" w:cs="Times New Roman"/>
          <w:sz w:val="26"/>
          <w:szCs w:val="26"/>
        </w:rPr>
        <w:t xml:space="preserve"> o a costi molto accessibili, a seconda delle circostanze, sul complesso tema del diritto d’autore. </w:t>
      </w: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Le consulenze più semplici, offerte da avvocati ed esperti, sono disponibili in </w:t>
      </w:r>
      <w:r>
        <w:rPr>
          <w:rFonts w:ascii="Times New Roman" w:hAnsi="Times New Roman" w:cs="Times New Roman"/>
          <w:b/>
          <w:sz w:val="26"/>
          <w:szCs w:val="26"/>
        </w:rPr>
        <w:t>Fairpay</w:t>
      </w:r>
      <w:r>
        <w:rPr>
          <w:rFonts w:ascii="Times New Roman" w:hAnsi="Times New Roman" w:cs="Times New Roman"/>
          <w:sz w:val="26"/>
          <w:szCs w:val="26"/>
        </w:rPr>
        <w:t xml:space="preserve"> – se l’artista è soddisfatto della consulenza e dei </w:t>
      </w:r>
      <w:r>
        <w:rPr>
          <w:rFonts w:ascii="Times New Roman" w:hAnsi="Times New Roman" w:cs="Times New Roman"/>
          <w:sz w:val="26"/>
          <w:szCs w:val="26"/>
        </w:rPr>
        <w:t xml:space="preserve">consigli che gli sono stati forniti, gli verrà proposta una piccola somma da versare alla società per pagare gli esperti messi a sua disposizione. Le consulenze più impegnative, invece, sono offerte a </w:t>
      </w:r>
      <w:r>
        <w:rPr>
          <w:rFonts w:ascii="Times New Roman" w:hAnsi="Times New Roman" w:cs="Times New Roman"/>
          <w:b/>
          <w:sz w:val="26"/>
          <w:szCs w:val="26"/>
        </w:rPr>
        <w:t>tariffe agevolate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53748" w:rsidRDefault="0035374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6"/>
          <w:u w:val="single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6"/>
          <w:u w:val="single"/>
        </w:rPr>
        <w:t>LIVE</w:t>
      </w: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 grande novità di Patamu è </w:t>
      </w:r>
      <w:r>
        <w:rPr>
          <w:rFonts w:ascii="Times New Roman" w:hAnsi="Times New Roman" w:cs="Times New Roman"/>
          <w:sz w:val="26"/>
          <w:szCs w:val="26"/>
        </w:rPr>
        <w:t xml:space="preserve">data proprio da questo servizio che è passato dall’auto-riscossione all’intermediazione. Fino ad ora, infatti, la piattaforma ha concesso comunque ai suoi artisti la possibilità di riscuotere personalmente i propri diritti d’autore, fornendo loro tutta la </w:t>
      </w:r>
      <w:r>
        <w:rPr>
          <w:rFonts w:ascii="Times New Roman" w:hAnsi="Times New Roman" w:cs="Times New Roman"/>
          <w:sz w:val="26"/>
          <w:szCs w:val="26"/>
        </w:rPr>
        <w:t>modulistica necessaria. Tuttavia, la gestione burocratica e fiscale di questa operazione può risultare piuttosto complessa per gli artisti – specie se si tratta di opere con più autori.</w:t>
      </w:r>
    </w:p>
    <w:p w:rsidR="00353748" w:rsidRDefault="00B73FD4">
      <w:pPr>
        <w:spacing w:after="0" w:line="36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br/>
        <w:t xml:space="preserve">Purtroppo, a causa della </w:t>
      </w:r>
      <w:r>
        <w:rPr>
          <w:rFonts w:ascii="Times New Roman" w:hAnsi="Times New Roman" w:cs="Times New Roman"/>
          <w:b/>
          <w:sz w:val="26"/>
          <w:szCs w:val="26"/>
        </w:rPr>
        <w:t>legge sul monopolio della SIAE del 1941</w:t>
      </w:r>
      <w:r>
        <w:rPr>
          <w:rFonts w:ascii="Times New Roman" w:hAnsi="Times New Roman" w:cs="Times New Roman"/>
          <w:sz w:val="26"/>
          <w:szCs w:val="26"/>
        </w:rPr>
        <w:t>, nes</w:t>
      </w:r>
      <w:r>
        <w:rPr>
          <w:rFonts w:ascii="Times New Roman" w:hAnsi="Times New Roman" w:cs="Times New Roman"/>
          <w:sz w:val="26"/>
          <w:szCs w:val="26"/>
        </w:rPr>
        <w:t>sun ente italiano è autorizzato ad offrire un servizio di intermediazione – l’unica soluzione sarebbe quella di spostare la propria sede legale in un altro paese. Patamu, però, fortemente ancorata alle proprie radici culturali, ha deciso di mantenere la pr</w:t>
      </w:r>
      <w:r>
        <w:rPr>
          <w:rFonts w:ascii="Times New Roman" w:hAnsi="Times New Roman" w:cs="Times New Roman"/>
          <w:sz w:val="26"/>
          <w:szCs w:val="26"/>
        </w:rPr>
        <w:t xml:space="preserve">opria residenza in Italia, chiedendo al </w:t>
      </w:r>
      <w:r>
        <w:rPr>
          <w:rFonts w:ascii="Times New Roman" w:hAnsi="Times New Roman" w:cs="Times New Roman"/>
          <w:b/>
          <w:sz w:val="26"/>
          <w:szCs w:val="26"/>
        </w:rPr>
        <w:t>Ministro delle Attività e dei Beni Culturali Dario Francheschini</w:t>
      </w:r>
      <w:r>
        <w:rPr>
          <w:rFonts w:ascii="Times New Roman" w:hAnsi="Times New Roman" w:cs="Times New Roman"/>
          <w:sz w:val="26"/>
          <w:szCs w:val="26"/>
        </w:rPr>
        <w:t xml:space="preserve"> l’abolizione del monopolio – per cui è stata lanciata anche una petizione su </w:t>
      </w:r>
      <w:hyperlink r:id="rId5">
        <w:r>
          <w:rPr>
            <w:rStyle w:val="CollegamentoInternet"/>
            <w:rFonts w:ascii="Times New Roman" w:eastAsia="Times New Roman" w:hAnsi="Times New Roman" w:cs="Times New Roman"/>
            <w:b/>
            <w:color w:val="0070C0"/>
            <w:sz w:val="26"/>
            <w:szCs w:val="26"/>
          </w:rPr>
          <w:t>change.org/a</w:t>
        </w:r>
        <w:r>
          <w:rPr>
            <w:rStyle w:val="CollegamentoInternet"/>
            <w:rFonts w:ascii="Times New Roman" w:eastAsia="Times New Roman" w:hAnsi="Times New Roman" w:cs="Times New Roman"/>
            <w:b/>
            <w:color w:val="0070C0"/>
            <w:sz w:val="26"/>
            <w:szCs w:val="26"/>
          </w:rPr>
          <w:t>boliamomonopoliosiae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Non avendo ricevuto alcun riscontro, la società ha deciso di lanciare comunque il </w:t>
      </w:r>
      <w:r>
        <w:rPr>
          <w:rFonts w:ascii="Times New Roman" w:hAnsi="Times New Roman" w:cs="Times New Roman"/>
          <w:b/>
          <w:sz w:val="26"/>
          <w:szCs w:val="26"/>
        </w:rPr>
        <w:t>servizio di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intermediazione</w:t>
      </w:r>
      <w:r>
        <w:rPr>
          <w:rFonts w:ascii="Times New Roman" w:hAnsi="Times New Roman" w:cs="Times New Roman"/>
          <w:sz w:val="26"/>
          <w:szCs w:val="26"/>
        </w:rPr>
        <w:t xml:space="preserve"> lasciando, così, agli artisti il solo compito di segnalare l’evento ed i dati dell’autore, caricandosi di tutti gli oneri fiscali e burocratici.</w:t>
      </w: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Un’inversione di rotta, questa, che mette a disposizione di tutti gli iscritti un </w:t>
      </w:r>
      <w:r>
        <w:rPr>
          <w:rFonts w:ascii="Times New Roman" w:hAnsi="Times New Roman" w:cs="Times New Roman"/>
          <w:b/>
          <w:sz w:val="26"/>
          <w:szCs w:val="26"/>
        </w:rPr>
        <w:t>tariffario chiaro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e pubblico</w:t>
      </w:r>
      <w:r>
        <w:rPr>
          <w:rFonts w:ascii="Times New Roman" w:hAnsi="Times New Roman" w:cs="Times New Roman"/>
          <w:sz w:val="26"/>
          <w:szCs w:val="26"/>
        </w:rPr>
        <w:t xml:space="preserve">, in cui potranno anche essere </w:t>
      </w:r>
      <w:r>
        <w:rPr>
          <w:rFonts w:ascii="Times New Roman" w:hAnsi="Times New Roman" w:cs="Times New Roman"/>
          <w:b/>
          <w:sz w:val="26"/>
          <w:szCs w:val="26"/>
        </w:rPr>
        <w:t>garantiti i pagamenti in modo trasparente</w:t>
      </w:r>
      <w:r>
        <w:rPr>
          <w:rFonts w:ascii="Times New Roman" w:hAnsi="Times New Roman" w:cs="Times New Roman"/>
          <w:sz w:val="26"/>
          <w:szCs w:val="26"/>
        </w:rPr>
        <w:t>. La ripartizione dei compensi, infatti, non avviene tramite un’analisi a campione, ma sulle singole riproduzioni. Il tutto, verrà erogato alla fine di ogni evento.</w:t>
      </w:r>
    </w:p>
    <w:p w:rsidR="00353748" w:rsidRDefault="0035374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NOTE DEL FONDATO</w:t>
      </w:r>
      <w:r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RE</w:t>
      </w: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i/>
          <w:sz w:val="26"/>
          <w:szCs w:val="26"/>
        </w:rPr>
        <w:t xml:space="preserve">Patamu è una realtà con molte energie e voglia di mettersi alla prova. Con l’obiettivo di far crescere i propri artisti e di crescere assieme a loro, per far sì che la loro passione possa diventare un vero e proprio lavoro. Questa partita è vitale per </w:t>
      </w:r>
      <w:r>
        <w:rPr>
          <w:rFonts w:ascii="Times New Roman" w:hAnsi="Times New Roman" w:cs="Times New Roman"/>
          <w:i/>
          <w:sz w:val="26"/>
          <w:szCs w:val="26"/>
        </w:rPr>
        <w:t>valorizzare la produzione artistica nel nostro Paese, far emergere la “biodiversità culturale” e favorire un rinascimento culturale in Italia a beneficio degli artisti, dell’ecosistema delle industrie creative, e di tutta la società civile.</w:t>
      </w:r>
    </w:p>
    <w:p w:rsidR="00353748" w:rsidRDefault="00B73F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Adriano Bonfor</w:t>
      </w:r>
      <w:r>
        <w:rPr>
          <w:rFonts w:ascii="Times New Roman" w:hAnsi="Times New Roman" w:cs="Times New Roman"/>
          <w:b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353748" w:rsidRDefault="0035374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3748" w:rsidRDefault="0035374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3748" w:rsidRDefault="00B73FD4">
      <w:pPr>
        <w:spacing w:after="0" w:line="276" w:lineRule="auto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Ufficio stampa Patamu:</w:t>
      </w:r>
    </w:p>
    <w:p w:rsidR="00353748" w:rsidRDefault="00B73FD4">
      <w:pPr>
        <w:spacing w:after="0" w:line="276" w:lineRule="auto"/>
        <w:jc w:val="center"/>
      </w:pPr>
      <w:r>
        <w:rPr>
          <w:rFonts w:ascii="Times New Roman" w:hAnsi="Times New Roman" w:cs="Times New Roman"/>
          <w:szCs w:val="26"/>
        </w:rPr>
        <w:t xml:space="preserve">Francesca Polici: 329/0478786 – </w:t>
      </w:r>
      <w:hyperlink r:id="rId6">
        <w:r>
          <w:rPr>
            <w:rStyle w:val="CollegamentoInternet"/>
            <w:rFonts w:ascii="Times New Roman" w:hAnsi="Times New Roman" w:cs="Times New Roman"/>
            <w:szCs w:val="26"/>
          </w:rPr>
          <w:t>francesca.polici@gmail.com</w:t>
        </w:r>
      </w:hyperlink>
    </w:p>
    <w:p w:rsidR="00353748" w:rsidRDefault="00353748">
      <w:pPr>
        <w:spacing w:after="0" w:line="276" w:lineRule="auto"/>
        <w:jc w:val="center"/>
      </w:pPr>
    </w:p>
    <w:sectPr w:rsidR="00353748" w:rsidSect="0035374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formProt w:val="0"/>
      <w:titlePg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roman"/>
    <w:pitch w:val="variable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Raleway">
    <w:altName w:val="Cambria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id w:val="139859566"/>
      <w:docPartObj>
        <w:docPartGallery w:val="Page Numbers (Bottom of Page)"/>
        <w:docPartUnique/>
      </w:docPartObj>
    </w:sdtPr>
    <w:sdtContent>
      <w:p w:rsidR="00353748" w:rsidRDefault="00B73FD4">
        <w:pPr>
          <w:pStyle w:val="Pidipagina"/>
          <w:jc w:val="right"/>
        </w:pPr>
        <w:r>
          <w:t xml:space="preserve">Patamu.com – Reinventing Creativity                              </w:t>
        </w:r>
        <w:r>
          <w:tab/>
        </w:r>
        <w:r>
          <w:tab/>
          <w:t xml:space="preserve"> </w:t>
        </w:r>
        <w:r w:rsidR="00353748">
          <w:fldChar w:fldCharType="begin"/>
        </w:r>
        <w:r>
          <w:instrText>PAGE</w:instrText>
        </w:r>
        <w:r w:rsidR="00353748">
          <w:fldChar w:fldCharType="separate"/>
        </w:r>
        <w:r>
          <w:rPr>
            <w:noProof/>
          </w:rPr>
          <w:t>3</w:t>
        </w:r>
        <w:r w:rsidR="00353748">
          <w:fldChar w:fldCharType="end"/>
        </w:r>
      </w:p>
      <w:p w:rsidR="00353748" w:rsidRDefault="00353748">
        <w:pPr>
          <w:pStyle w:val="Pidipagina"/>
        </w:pPr>
      </w:p>
    </w:sdtContent>
  </w:sdt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53748" w:rsidRDefault="00B73FD4">
    <w:pPr>
      <w:pStyle w:val="Intestazione"/>
      <w:jc w:val="right"/>
    </w:pPr>
    <w:r>
      <w:rPr>
        <w:noProof/>
        <w:lang w:val="en-US"/>
      </w:rPr>
      <w:drawing>
        <wp:anchor distT="0" distB="0" distL="114300" distR="125730" simplePos="0" relativeHeight="3" behindDoc="1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-349885</wp:posOffset>
          </wp:positionV>
          <wp:extent cx="1055370" cy="102679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/>
  <w:rsids>
    <w:rsidRoot w:val="00353748"/>
    <w:rsid w:val="00353748"/>
    <w:rsid w:val="00B73FD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48"/>
    <w:pPr>
      <w:spacing w:after="16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erChar">
    <w:name w:val="Header Char"/>
    <w:basedOn w:val="DefaultParagraphFont"/>
    <w:link w:val="Intestazione"/>
    <w:uiPriority w:val="99"/>
    <w:qFormat/>
    <w:rsid w:val="00F35192"/>
  </w:style>
  <w:style w:type="character" w:customStyle="1" w:styleId="FooterChar">
    <w:name w:val="Footer Char"/>
    <w:basedOn w:val="DefaultParagraphFont"/>
    <w:link w:val="Pidipagina"/>
    <w:uiPriority w:val="99"/>
    <w:qFormat/>
    <w:rsid w:val="00F35192"/>
  </w:style>
  <w:style w:type="character" w:customStyle="1" w:styleId="CollegamentoInternet">
    <w:name w:val="Collegamento Internet"/>
    <w:basedOn w:val="DefaultParagraphFont"/>
    <w:uiPriority w:val="99"/>
    <w:unhideWhenUsed/>
    <w:rsid w:val="002A253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154FC"/>
    <w:rPr>
      <w:rFonts w:ascii="Lucida Grande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oloprincipale"/>
    <w:uiPriority w:val="10"/>
    <w:qFormat/>
    <w:rsid w:val="00A154FC"/>
    <w:rPr>
      <w:rFonts w:asciiTheme="majorHAnsi" w:eastAsiaTheme="majorEastAsia" w:hAnsiTheme="majorHAnsi" w:cstheme="majorBidi"/>
      <w:spacing w:val="0"/>
      <w:sz w:val="56"/>
      <w:szCs w:val="56"/>
      <w:lang w:eastAsia="it-IT"/>
    </w:rPr>
  </w:style>
  <w:style w:type="paragraph" w:customStyle="1" w:styleId="Titolo">
    <w:name w:val="Titolo"/>
    <w:basedOn w:val="Normal"/>
    <w:next w:val="Corpodeltesto"/>
    <w:qFormat/>
    <w:rsid w:val="0035374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"/>
    <w:rsid w:val="00353748"/>
    <w:pPr>
      <w:spacing w:after="140" w:line="288" w:lineRule="auto"/>
    </w:pPr>
  </w:style>
  <w:style w:type="paragraph" w:customStyle="1" w:styleId="Elenco">
    <w:name w:val="Elenco"/>
    <w:basedOn w:val="Corpodeltesto"/>
    <w:rsid w:val="00353748"/>
    <w:rPr>
      <w:rFonts w:cs="Arial"/>
    </w:rPr>
  </w:style>
  <w:style w:type="paragraph" w:customStyle="1" w:styleId="Didascalia">
    <w:name w:val="Didascalia"/>
    <w:basedOn w:val="Normal"/>
    <w:rsid w:val="003537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qFormat/>
    <w:rsid w:val="00353748"/>
    <w:pPr>
      <w:suppressLineNumbers/>
    </w:pPr>
    <w:rPr>
      <w:rFonts w:cs="Arial"/>
    </w:rPr>
  </w:style>
  <w:style w:type="paragraph" w:customStyle="1" w:styleId="Intestazione">
    <w:name w:val="Intestazione"/>
    <w:basedOn w:val="Normal"/>
    <w:link w:val="HeaderChar"/>
    <w:uiPriority w:val="99"/>
    <w:unhideWhenUsed/>
    <w:rsid w:val="00F3519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">
    <w:name w:val="Piè di pagina"/>
    <w:basedOn w:val="Normal"/>
    <w:link w:val="FooterChar"/>
    <w:uiPriority w:val="99"/>
    <w:unhideWhenUsed/>
    <w:rsid w:val="00F35192"/>
    <w:pPr>
      <w:tabs>
        <w:tab w:val="center" w:pos="4819"/>
        <w:tab w:val="right" w:pos="9638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154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Titoloprincipale">
    <w:name w:val="Titolo principale"/>
    <w:basedOn w:val="Normal"/>
    <w:next w:val="Normal"/>
    <w:link w:val="TitleChar"/>
    <w:uiPriority w:val="10"/>
    <w:qFormat/>
    <w:rsid w:val="00A154F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www.change.org/aboliamomonopoliosiae" TargetMode="External"/><Relationship Id="rId6" Type="http://schemas.openxmlformats.org/officeDocument/2006/relationships/hyperlink" Target="mailto:francesca.polici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838</Words>
  <Characters>4778</Characters>
  <Application>Microsoft Word 12.0.0</Application>
  <DocSecurity>0</DocSecurity>
  <Lines>39</Lines>
  <Paragraphs>9</Paragraphs>
  <ScaleCrop>false</ScaleCrop>
  <Company>Hewlett-Packard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Daniela Castrataro</cp:lastModifiedBy>
  <cp:revision>5</cp:revision>
  <dcterms:created xsi:type="dcterms:W3CDTF">2016-05-26T11:22:00Z</dcterms:created>
  <dcterms:modified xsi:type="dcterms:W3CDTF">2019-11-12T08:29:00Z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